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惠仲土（用地）挂[2025]026号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6、《仲恺高新区产</w:t>
      </w:r>
      <w:bookmarkStart w:id="0" w:name="_GoBack"/>
      <w:bookmarkEnd w:id="0"/>
      <w:r>
        <w:rPr>
          <w:rFonts w:hint="eastAsia" w:ascii="仿宋_GB2312" w:hAnsi="仿宋_GB2312" w:eastAsia="仿宋_GB2312" w:cs="仿宋_GB2312"/>
          <w:color w:val="auto"/>
          <w:sz w:val="32"/>
          <w:szCs w:val="32"/>
          <w:lang w:val="en-US" w:eastAsia="zh-CN"/>
        </w:rPr>
        <w:t>业项目监管协议》；</w:t>
      </w:r>
    </w:p>
    <w:p w14:paraId="5F213E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471012"/>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0E1D"/>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A163DC"/>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5150</Words>
  <Characters>5202</Characters>
  <Lines>0</Lines>
  <Paragraphs>0</Paragraphs>
  <TotalTime>16</TotalTime>
  <ScaleCrop>false</ScaleCrop>
  <LinksUpToDate>false</LinksUpToDate>
  <CharactersWithSpaces>5249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2025-06-13T06:57:00Z</cp:lastPrinted>
  <dcterms:modified xsi:type="dcterms:W3CDTF">2025-06-27T09:00:54Z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